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6A25DD" w:rsidRPr="006F610E">
        <w:rPr>
          <w:rFonts w:ascii="GHEA Grapalat" w:hAnsi="GHEA Grapalat" w:cs="Sylfaen"/>
          <w:b/>
          <w:szCs w:val="18"/>
          <w:lang w:val="hy-AM"/>
        </w:rPr>
        <w:t>դեկտեմբերի</w:t>
      </w:r>
      <w:r w:rsidR="00F0658A" w:rsidRPr="00606AB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997CA2" w:rsidRPr="001E48F4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1E48F4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997CA2" w:rsidRPr="001E48F4" w:rsidRDefault="003E174D" w:rsidP="001E48F4">
      <w:pPr>
        <w:jc w:val="both"/>
        <w:rPr>
          <w:rFonts w:ascii="GHEA Grapalat" w:hAnsi="GHEA Grapalat" w:cs="Sylfaen"/>
          <w:lang w:val="af-ZA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997CA2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</w:t>
      </w:r>
      <w:r w:rsidR="00304929">
        <w:rPr>
          <w:rFonts w:ascii="GHEA Grapalat" w:hAnsi="GHEA Grapalat" w:cs="Sylfaen"/>
          <w:lang w:val="hy-AM"/>
        </w:rPr>
        <w:t>եր</w:t>
      </w:r>
      <w:r w:rsidR="004C5A16" w:rsidRPr="00B457C7">
        <w:rPr>
          <w:rFonts w:ascii="GHEA Grapalat" w:hAnsi="GHEA Grapalat" w:cs="Sylfaen"/>
          <w:lang w:val="hy-AM"/>
        </w:rPr>
        <w:t>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34-րդ հոդվածի 1-ին,</w:t>
      </w:r>
      <w:r w:rsidR="0091334D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</w:t>
      </w:r>
      <w:r w:rsidR="006B45CD" w:rsidRPr="00B457C7">
        <w:rPr>
          <w:rFonts w:ascii="GHEA Grapalat" w:hAnsi="GHEA Grapalat" w:cs="Sylfaen"/>
          <w:lang w:val="hy-AM"/>
        </w:rPr>
        <w:t>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1B07F9" w:rsidRPr="00B457C7">
        <w:rPr>
          <w:rFonts w:ascii="GHEA Grapalat" w:hAnsi="GHEA Grapalat" w:cs="Sylfaen"/>
          <w:lang w:val="hy-AM"/>
        </w:rPr>
        <w:t>«</w:t>
      </w:r>
      <w:r w:rsidR="001B07F9">
        <w:rPr>
          <w:rFonts w:ascii="GHEA Grapalat" w:hAnsi="GHEA Grapalat" w:cs="Sylfaen"/>
          <w:lang w:val="hy-AM"/>
        </w:rPr>
        <w:t>6 39</w:t>
      </w:r>
      <w:r w:rsidR="001B07F9" w:rsidRPr="00433651">
        <w:rPr>
          <w:rFonts w:ascii="GHEA Grapalat" w:hAnsi="GHEA Grapalat" w:cs="Sylfaen"/>
          <w:lang w:val="hy-AM"/>
        </w:rPr>
        <w:t>5</w:t>
      </w:r>
      <w:r w:rsidR="001B07F9">
        <w:rPr>
          <w:rFonts w:ascii="GHEA Grapalat" w:hAnsi="GHEA Grapalat" w:cs="Sylfaen"/>
          <w:lang w:val="hy-AM"/>
        </w:rPr>
        <w:t xml:space="preserve"> 410 900</w:t>
      </w:r>
      <w:r w:rsidR="001B07F9" w:rsidRPr="00A863DC">
        <w:rPr>
          <w:rFonts w:ascii="GHEA Grapalat" w:hAnsi="GHEA Grapalat" w:cs="Sylfaen"/>
          <w:lang w:val="hy-AM"/>
        </w:rPr>
        <w:t xml:space="preserve"> </w:t>
      </w:r>
      <w:r w:rsidR="001B07F9" w:rsidRPr="00B457C7">
        <w:rPr>
          <w:rFonts w:ascii="GHEA Grapalat" w:hAnsi="GHEA Grapalat"/>
          <w:lang w:val="hy-AM"/>
        </w:rPr>
        <w:t>(</w:t>
      </w:r>
      <w:r w:rsidR="001B07F9">
        <w:rPr>
          <w:rFonts w:ascii="GHEA Grapalat" w:hAnsi="GHEA Grapalat"/>
          <w:lang w:val="hy-AM"/>
        </w:rPr>
        <w:t>վեց</w:t>
      </w:r>
      <w:r w:rsidR="001B07F9" w:rsidRPr="00B457C7">
        <w:rPr>
          <w:rFonts w:ascii="GHEA Grapalat" w:hAnsi="GHEA Grapalat"/>
          <w:lang w:val="hy-AM"/>
        </w:rPr>
        <w:t xml:space="preserve"> միլիարդ</w:t>
      </w:r>
      <w:r w:rsidR="001B07F9" w:rsidRPr="00A863DC">
        <w:rPr>
          <w:rFonts w:ascii="GHEA Grapalat" w:hAnsi="GHEA Grapalat"/>
          <w:lang w:val="hy-AM"/>
        </w:rPr>
        <w:t xml:space="preserve"> </w:t>
      </w:r>
      <w:r w:rsidR="001B07F9">
        <w:rPr>
          <w:rFonts w:ascii="GHEA Grapalat" w:hAnsi="GHEA Grapalat"/>
          <w:lang w:val="hy-AM"/>
        </w:rPr>
        <w:t>երեք</w:t>
      </w:r>
      <w:r w:rsidR="001B07F9" w:rsidRPr="00CC7317">
        <w:rPr>
          <w:rFonts w:ascii="GHEA Grapalat" w:hAnsi="GHEA Grapalat"/>
          <w:lang w:val="hy-AM"/>
        </w:rPr>
        <w:t xml:space="preserve"> </w:t>
      </w:r>
      <w:r w:rsidR="001B07F9" w:rsidRPr="00A863DC">
        <w:rPr>
          <w:rFonts w:ascii="GHEA Grapalat" w:hAnsi="GHEA Grapalat"/>
          <w:lang w:val="hy-AM"/>
        </w:rPr>
        <w:t xml:space="preserve">հարյուր </w:t>
      </w:r>
      <w:r w:rsidR="001B07F9">
        <w:rPr>
          <w:rFonts w:ascii="GHEA Grapalat" w:hAnsi="GHEA Grapalat"/>
          <w:lang w:val="hy-AM"/>
        </w:rPr>
        <w:t>իննսուն</w:t>
      </w:r>
      <w:r w:rsidR="001B07F9" w:rsidRPr="00433651">
        <w:rPr>
          <w:rFonts w:ascii="GHEA Grapalat" w:hAnsi="GHEA Grapalat"/>
          <w:lang w:val="hy-AM"/>
        </w:rPr>
        <w:t>հինգ</w:t>
      </w:r>
      <w:r w:rsidR="001B07F9" w:rsidRPr="00CC7317">
        <w:rPr>
          <w:rFonts w:ascii="GHEA Grapalat" w:hAnsi="GHEA Grapalat"/>
          <w:lang w:val="hy-AM"/>
        </w:rPr>
        <w:t xml:space="preserve"> </w:t>
      </w:r>
      <w:r w:rsidR="001B07F9" w:rsidRPr="00A863DC">
        <w:rPr>
          <w:rFonts w:ascii="GHEA Grapalat" w:hAnsi="GHEA Grapalat"/>
          <w:lang w:val="hy-AM"/>
        </w:rPr>
        <w:t xml:space="preserve">միլիոն </w:t>
      </w:r>
      <w:r w:rsidR="001B07F9" w:rsidRPr="00CC7317">
        <w:rPr>
          <w:rFonts w:ascii="GHEA Grapalat" w:hAnsi="GHEA Grapalat"/>
          <w:lang w:val="hy-AM"/>
        </w:rPr>
        <w:t xml:space="preserve">չորս </w:t>
      </w:r>
      <w:r w:rsidR="001B07F9">
        <w:rPr>
          <w:rFonts w:ascii="GHEA Grapalat" w:hAnsi="GHEA Grapalat"/>
          <w:lang w:val="hy-AM"/>
        </w:rPr>
        <w:t xml:space="preserve">հարյուր </w:t>
      </w:r>
      <w:r w:rsidR="001B07F9" w:rsidRPr="00CC7317">
        <w:rPr>
          <w:rFonts w:ascii="GHEA Grapalat" w:hAnsi="GHEA Grapalat"/>
          <w:lang w:val="hy-AM"/>
        </w:rPr>
        <w:t>տաս</w:t>
      </w:r>
      <w:r w:rsidR="001B07F9" w:rsidRPr="00A863DC">
        <w:rPr>
          <w:rFonts w:ascii="GHEA Grapalat" w:hAnsi="GHEA Grapalat"/>
          <w:lang w:val="hy-AM"/>
        </w:rPr>
        <w:t xml:space="preserve"> </w:t>
      </w:r>
      <w:r w:rsidR="001B07F9">
        <w:rPr>
          <w:rFonts w:ascii="GHEA Grapalat" w:hAnsi="GHEA Grapalat"/>
          <w:lang w:val="hy-AM"/>
        </w:rPr>
        <w:t xml:space="preserve">հազար </w:t>
      </w:r>
      <w:r w:rsidR="001B07F9" w:rsidRPr="00516F4C">
        <w:rPr>
          <w:rFonts w:ascii="GHEA Grapalat" w:hAnsi="GHEA Grapalat"/>
          <w:lang w:val="hy-AM"/>
        </w:rPr>
        <w:t>ինը</w:t>
      </w:r>
      <w:r w:rsidR="001B07F9">
        <w:rPr>
          <w:rFonts w:ascii="GHEA Grapalat" w:hAnsi="GHEA Grapalat"/>
          <w:lang w:val="hy-AM"/>
        </w:rPr>
        <w:t xml:space="preserve"> հարյուր</w:t>
      </w:r>
      <w:r w:rsidR="001B07F9" w:rsidRPr="00B457C7">
        <w:rPr>
          <w:rFonts w:ascii="GHEA Grapalat" w:hAnsi="GHEA Grapalat"/>
          <w:lang w:val="hy-AM"/>
        </w:rPr>
        <w:t>)</w:t>
      </w:r>
      <w:r w:rsidR="001B07F9" w:rsidRPr="00B457C7">
        <w:rPr>
          <w:rFonts w:ascii="GHEA Grapalat" w:hAnsi="GHEA Grapalat" w:cs="Sylfaen"/>
          <w:lang w:val="hy-AM"/>
        </w:rPr>
        <w:t>»</w:t>
      </w:r>
      <w:r w:rsidR="001B07F9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641DD7">
        <w:rPr>
          <w:rFonts w:ascii="GHEA Grapalat" w:hAnsi="GHEA Grapalat" w:cs="Sylfaen"/>
          <w:lang w:val="hy-AM"/>
        </w:rPr>
        <w:t>6 588 356 230</w:t>
      </w:r>
      <w:r w:rsidR="00A863DC" w:rsidRPr="00A863DC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/>
          <w:lang w:val="hy-AM"/>
        </w:rPr>
        <w:t>(</w:t>
      </w:r>
      <w:r w:rsidR="00606ABB">
        <w:rPr>
          <w:rFonts w:ascii="GHEA Grapalat" w:hAnsi="GHEA Grapalat"/>
          <w:lang w:val="hy-AM"/>
        </w:rPr>
        <w:t>վեց</w:t>
      </w:r>
      <w:r w:rsidR="00D8681D" w:rsidRPr="00B457C7">
        <w:rPr>
          <w:rFonts w:ascii="GHEA Grapalat" w:hAnsi="GHEA Grapalat"/>
          <w:lang w:val="hy-AM"/>
        </w:rPr>
        <w:t xml:space="preserve"> միլիարդ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641DD7" w:rsidRPr="00641DD7">
        <w:rPr>
          <w:rFonts w:ascii="GHEA Grapalat" w:hAnsi="GHEA Grapalat"/>
          <w:lang w:val="hy-AM"/>
        </w:rPr>
        <w:t>հինգ</w:t>
      </w:r>
      <w:r w:rsidR="00CC7317" w:rsidRPr="00CC7317">
        <w:rPr>
          <w:rFonts w:ascii="GHEA Grapalat" w:hAnsi="GHEA Grapalat"/>
          <w:lang w:val="hy-AM"/>
        </w:rPr>
        <w:t xml:space="preserve"> </w:t>
      </w:r>
      <w:r w:rsidR="00A863DC" w:rsidRPr="00A863DC">
        <w:rPr>
          <w:rFonts w:ascii="GHEA Grapalat" w:hAnsi="GHEA Grapalat"/>
          <w:lang w:val="hy-AM"/>
        </w:rPr>
        <w:t xml:space="preserve">հարյուր </w:t>
      </w:r>
      <w:r w:rsidR="00641DD7" w:rsidRPr="00641DD7">
        <w:rPr>
          <w:rFonts w:ascii="GHEA Grapalat" w:hAnsi="GHEA Grapalat"/>
          <w:lang w:val="hy-AM"/>
        </w:rPr>
        <w:t>ութսունսութ</w:t>
      </w:r>
      <w:r w:rsidR="00CC7317" w:rsidRPr="00CC7317">
        <w:rPr>
          <w:rFonts w:ascii="GHEA Grapalat" w:hAnsi="GHEA Grapalat"/>
          <w:lang w:val="hy-AM"/>
        </w:rPr>
        <w:t xml:space="preserve"> </w:t>
      </w:r>
      <w:r w:rsidR="00A863DC" w:rsidRPr="00A863DC">
        <w:rPr>
          <w:rFonts w:ascii="GHEA Grapalat" w:hAnsi="GHEA Grapalat"/>
          <w:lang w:val="hy-AM"/>
        </w:rPr>
        <w:t xml:space="preserve">միլիոն </w:t>
      </w:r>
      <w:r w:rsidR="00641DD7" w:rsidRPr="00641DD7">
        <w:rPr>
          <w:rFonts w:ascii="GHEA Grapalat" w:hAnsi="GHEA Grapalat"/>
          <w:lang w:val="hy-AM"/>
        </w:rPr>
        <w:t>երեք</w:t>
      </w:r>
      <w:r w:rsidR="00CC7317" w:rsidRPr="00CC7317">
        <w:rPr>
          <w:rFonts w:ascii="GHEA Grapalat" w:hAnsi="GHEA Grapalat"/>
          <w:lang w:val="hy-AM"/>
        </w:rPr>
        <w:t xml:space="preserve"> </w:t>
      </w:r>
      <w:r w:rsidR="00D8681D">
        <w:rPr>
          <w:rFonts w:ascii="GHEA Grapalat" w:hAnsi="GHEA Grapalat"/>
          <w:lang w:val="hy-AM"/>
        </w:rPr>
        <w:t xml:space="preserve">հարյուր </w:t>
      </w:r>
      <w:r w:rsidR="00641DD7" w:rsidRPr="00641DD7">
        <w:rPr>
          <w:rFonts w:ascii="GHEA Grapalat" w:hAnsi="GHEA Grapalat"/>
          <w:lang w:val="hy-AM"/>
        </w:rPr>
        <w:t>հիսունվեց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D8681D">
        <w:rPr>
          <w:rFonts w:ascii="GHEA Grapalat" w:hAnsi="GHEA Grapalat"/>
          <w:lang w:val="hy-AM"/>
        </w:rPr>
        <w:t>հազար</w:t>
      </w:r>
      <w:r w:rsidR="00606ABB">
        <w:rPr>
          <w:rFonts w:ascii="GHEA Grapalat" w:hAnsi="GHEA Grapalat"/>
          <w:lang w:val="hy-AM"/>
        </w:rPr>
        <w:t xml:space="preserve"> </w:t>
      </w:r>
      <w:r w:rsidR="00641DD7" w:rsidRPr="00641DD7">
        <w:rPr>
          <w:rFonts w:ascii="GHEA Grapalat" w:hAnsi="GHEA Grapalat"/>
          <w:lang w:val="hy-AM"/>
        </w:rPr>
        <w:t>երկու</w:t>
      </w:r>
      <w:r w:rsidR="00606ABB">
        <w:rPr>
          <w:rFonts w:ascii="GHEA Grapalat" w:hAnsi="GHEA Grapalat"/>
          <w:lang w:val="hy-AM"/>
        </w:rPr>
        <w:t xml:space="preserve"> հարյուր</w:t>
      </w:r>
      <w:r w:rsidR="001B07F9" w:rsidRPr="001B07F9">
        <w:rPr>
          <w:rFonts w:ascii="GHEA Grapalat" w:hAnsi="GHEA Grapalat"/>
          <w:lang w:val="hy-AM"/>
        </w:rPr>
        <w:t xml:space="preserve"> երեսուն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</w:t>
      </w:r>
      <w:r w:rsidR="00304929">
        <w:rPr>
          <w:rFonts w:ascii="GHEA Grapalat" w:eastAsia="Calibri" w:hAnsi="GHEA Grapalat" w:cs="Times New Roman"/>
          <w:lang w:val="hy-AM"/>
        </w:rPr>
        <w:t>կետի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1B07F9" w:rsidRPr="00B457C7">
        <w:rPr>
          <w:rFonts w:ascii="GHEA Grapalat" w:hAnsi="GHEA Grapalat" w:cs="Sylfaen"/>
          <w:lang w:val="hy-AM"/>
        </w:rPr>
        <w:t>«</w:t>
      </w:r>
      <w:r w:rsidR="001B07F9" w:rsidRPr="00516F4C">
        <w:rPr>
          <w:rFonts w:ascii="GHEA Grapalat" w:hAnsi="GHEA Grapalat"/>
          <w:lang w:val="hy-AM"/>
        </w:rPr>
        <w:t xml:space="preserve">6 </w:t>
      </w:r>
      <w:r w:rsidR="001B07F9">
        <w:rPr>
          <w:rFonts w:ascii="GHEA Grapalat" w:hAnsi="GHEA Grapalat"/>
          <w:lang w:val="hy-AM"/>
        </w:rPr>
        <w:t>96</w:t>
      </w:r>
      <w:r w:rsidR="001B07F9" w:rsidRPr="00D8459E">
        <w:rPr>
          <w:rFonts w:ascii="GHEA Grapalat" w:hAnsi="GHEA Grapalat"/>
          <w:lang w:val="hy-AM"/>
        </w:rPr>
        <w:t>7</w:t>
      </w:r>
      <w:r w:rsidR="001B07F9">
        <w:rPr>
          <w:rFonts w:ascii="GHEA Grapalat" w:hAnsi="GHEA Grapalat"/>
          <w:lang w:val="hy-AM"/>
        </w:rPr>
        <w:t xml:space="preserve"> 170 400</w:t>
      </w:r>
      <w:r w:rsidR="001B07F9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1B07F9">
        <w:rPr>
          <w:rFonts w:ascii="GHEA Grapalat" w:eastAsia="Calibri" w:hAnsi="GHEA Grapalat" w:cs="Times New Roman"/>
          <w:lang w:val="hy-AM"/>
        </w:rPr>
        <w:t xml:space="preserve"> վեց</w:t>
      </w:r>
      <w:r w:rsidR="001B07F9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1B07F9">
        <w:rPr>
          <w:rFonts w:ascii="GHEA Grapalat" w:eastAsia="Calibri" w:hAnsi="GHEA Grapalat" w:cs="Times New Roman"/>
          <w:lang w:val="hy-AM"/>
        </w:rPr>
        <w:t>ինը</w:t>
      </w:r>
      <w:r w:rsidR="001B07F9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1B07F9">
        <w:rPr>
          <w:rFonts w:ascii="GHEA Grapalat" w:eastAsia="Calibri" w:hAnsi="GHEA Grapalat" w:cs="Times New Roman"/>
          <w:lang w:val="hy-AM"/>
        </w:rPr>
        <w:t xml:space="preserve"> վաթսուն</w:t>
      </w:r>
      <w:r w:rsidR="001B07F9" w:rsidRPr="00433651">
        <w:rPr>
          <w:rFonts w:ascii="GHEA Grapalat" w:eastAsia="Calibri" w:hAnsi="GHEA Grapalat" w:cs="Times New Roman"/>
          <w:lang w:val="hy-AM"/>
        </w:rPr>
        <w:t>յոթ</w:t>
      </w:r>
      <w:r w:rsidR="001B07F9" w:rsidRPr="00B457C7">
        <w:rPr>
          <w:rFonts w:ascii="GHEA Grapalat" w:eastAsia="Calibri" w:hAnsi="GHEA Grapalat" w:cs="Times New Roman"/>
          <w:lang w:val="hy-AM"/>
        </w:rPr>
        <w:t xml:space="preserve"> միլիոն</w:t>
      </w:r>
      <w:r w:rsidR="001B07F9" w:rsidRPr="00516F4C">
        <w:rPr>
          <w:rFonts w:ascii="GHEA Grapalat" w:eastAsia="Calibri" w:hAnsi="GHEA Grapalat" w:cs="Times New Roman"/>
          <w:lang w:val="hy-AM"/>
        </w:rPr>
        <w:t xml:space="preserve"> հարյուր </w:t>
      </w:r>
      <w:r w:rsidR="001B07F9" w:rsidRPr="00CC7317">
        <w:rPr>
          <w:rFonts w:ascii="GHEA Grapalat" w:eastAsia="Calibri" w:hAnsi="GHEA Grapalat" w:cs="Times New Roman"/>
          <w:lang w:val="hy-AM"/>
        </w:rPr>
        <w:t xml:space="preserve">յոթանասուն </w:t>
      </w:r>
      <w:r w:rsidR="001B07F9" w:rsidRPr="00B457C7">
        <w:rPr>
          <w:rFonts w:ascii="GHEA Grapalat" w:eastAsia="Calibri" w:hAnsi="GHEA Grapalat" w:cs="Times New Roman"/>
          <w:lang w:val="hy-AM"/>
        </w:rPr>
        <w:t xml:space="preserve">հազար </w:t>
      </w:r>
      <w:r w:rsidR="001B07F9" w:rsidRPr="00516F4C">
        <w:rPr>
          <w:rFonts w:ascii="GHEA Grapalat" w:eastAsia="Calibri" w:hAnsi="GHEA Grapalat" w:cs="Times New Roman"/>
          <w:lang w:val="hy-AM"/>
        </w:rPr>
        <w:t>չորս</w:t>
      </w:r>
      <w:r w:rsidR="001B07F9">
        <w:rPr>
          <w:rFonts w:ascii="GHEA Grapalat" w:eastAsia="Calibri" w:hAnsi="GHEA Grapalat" w:cs="Times New Roman"/>
          <w:lang w:val="hy-AM"/>
        </w:rPr>
        <w:t xml:space="preserve"> </w:t>
      </w:r>
      <w:r w:rsidR="001B07F9" w:rsidRPr="00B457C7">
        <w:rPr>
          <w:rFonts w:ascii="GHEA Grapalat" w:eastAsia="Calibri" w:hAnsi="GHEA Grapalat" w:cs="Times New Roman"/>
          <w:lang w:val="hy-AM"/>
        </w:rPr>
        <w:t>հարյուր</w:t>
      </w:r>
      <w:r w:rsidR="001B07F9" w:rsidRPr="00B457C7">
        <w:rPr>
          <w:rFonts w:ascii="GHEA Grapalat" w:hAnsi="GHEA Grapalat"/>
          <w:sz w:val="20"/>
          <w:szCs w:val="20"/>
          <w:lang w:val="hy-AM"/>
        </w:rPr>
        <w:t>)</w:t>
      </w:r>
      <w:r w:rsidR="001B07F9" w:rsidRPr="00B457C7">
        <w:rPr>
          <w:rFonts w:ascii="GHEA Grapalat" w:hAnsi="GHEA Grapalat" w:cs="Sylfaen"/>
          <w:lang w:val="hy-AM"/>
        </w:rPr>
        <w:t>»</w:t>
      </w:r>
      <w:r w:rsidR="001B07F9" w:rsidRPr="001B07F9">
        <w:rPr>
          <w:rFonts w:ascii="GHEA Grapalat" w:hAnsi="GHEA Grapalat" w:cs="Sylfae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641DD7" w:rsidRPr="00641DD7">
        <w:rPr>
          <w:rFonts w:ascii="GHEA Grapalat" w:hAnsi="GHEA Grapalat"/>
          <w:lang w:val="hy-AM"/>
        </w:rPr>
        <w:t>7 160 115 730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0B3239" w:rsidRPr="000B323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(</w:t>
      </w:r>
      <w:r w:rsidR="00641DD7" w:rsidRPr="00641DD7">
        <w:rPr>
          <w:rFonts w:ascii="GHEA Grapalat" w:eastAsia="Calibri" w:hAnsi="GHEA Grapalat" w:cs="Times New Roman"/>
          <w:lang w:val="hy-AM"/>
        </w:rPr>
        <w:t>յոթ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հարյուր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641DD7" w:rsidRPr="00641DD7">
        <w:rPr>
          <w:rFonts w:ascii="GHEA Grapalat" w:eastAsia="Calibri" w:hAnsi="GHEA Grapalat" w:cs="Times New Roman"/>
          <w:lang w:val="hy-AM"/>
        </w:rPr>
        <w:t>վաթսուն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516F4C" w:rsidRPr="00516F4C">
        <w:rPr>
          <w:rFonts w:ascii="GHEA Grapalat" w:eastAsia="Calibri" w:hAnsi="GHEA Grapalat" w:cs="Times New Roman"/>
          <w:lang w:val="hy-AM"/>
        </w:rPr>
        <w:t xml:space="preserve"> հարյուր </w:t>
      </w:r>
      <w:r w:rsidR="00641DD7" w:rsidRPr="00641DD7">
        <w:rPr>
          <w:rFonts w:ascii="GHEA Grapalat" w:eastAsia="Calibri" w:hAnsi="GHEA Grapalat" w:cs="Times New Roman"/>
          <w:lang w:val="hy-AM"/>
        </w:rPr>
        <w:t xml:space="preserve">տասնհինգ հազար յոթ հարյուր երեսուն 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9572D1">
        <w:rPr>
          <w:rFonts w:ascii="GHEA Grapalat" w:hAnsi="GHEA Grapalat" w:cs="Sylfaen"/>
          <w:lang w:val="hy-AM"/>
        </w:rPr>
        <w:t>1-</w:t>
      </w:r>
      <w:r w:rsidR="00D8681D">
        <w:rPr>
          <w:rFonts w:ascii="GHEA Grapalat" w:hAnsi="GHEA Grapalat" w:cs="Sylfaen"/>
          <w:lang w:val="hy-AM"/>
        </w:rPr>
        <w:t>ին,2-րդ,3-րդ,4-րդ</w:t>
      </w:r>
      <w:r w:rsidRPr="00B457C7">
        <w:rPr>
          <w:rFonts w:ascii="GHEA Grapalat" w:hAnsi="GHEA Grapalat" w:cs="Sylfaen"/>
          <w:lang w:val="hy-AM"/>
        </w:rPr>
        <w:t xml:space="preserve"> հատվածները  շարադրել նոր խմբագրությամբ՝ </w:t>
      </w:r>
      <w:r w:rsidR="009572D1" w:rsidRPr="009572D1">
        <w:rPr>
          <w:rFonts w:ascii="GHEA Grapalat" w:hAnsi="GHEA Grapalat" w:cs="Sylfaen"/>
          <w:lang w:val="hy-AM"/>
        </w:rPr>
        <w:t xml:space="preserve">համաձայն </w:t>
      </w:r>
      <w:r w:rsidR="00D8681D">
        <w:rPr>
          <w:rFonts w:ascii="GHEA Grapalat" w:hAnsi="GHEA Grapalat" w:cs="Sylfaen"/>
          <w:lang w:val="hy-AM"/>
        </w:rPr>
        <w:t>1-ին,2-րդ,3-րդ,4-րդ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="00D8681D">
        <w:rPr>
          <w:rFonts w:ascii="GHEA Grapalat" w:hAnsi="GHEA Grapalat" w:cs="Sylfaen"/>
          <w:lang w:val="hy-AM"/>
        </w:rPr>
        <w:t>ներ</w:t>
      </w:r>
      <w:r w:rsidRPr="00B457C7">
        <w:rPr>
          <w:rFonts w:ascii="GHEA Grapalat" w:hAnsi="GHEA Grapalat" w:cs="Sylfaen"/>
          <w:lang w:val="hy-AM"/>
        </w:rPr>
        <w:t>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9572D1" w:rsidRPr="009572D1" w:rsidRDefault="00233D49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 xml:space="preserve">Հանձնարարել </w:t>
      </w:r>
      <w:r w:rsidR="00997CA2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B457C7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9572D1" w:rsidRDefault="009572D1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74E87">
        <w:rPr>
          <w:rFonts w:ascii="GHEA Grapalat" w:hAnsi="GHEA Grapalat" w:cs="Sylfaen"/>
          <w:lang w:val="hy-AM"/>
        </w:rPr>
        <w:t>4.</w:t>
      </w:r>
      <w:r w:rsidR="003E174D" w:rsidRPr="00B457C7">
        <w:rPr>
          <w:rFonts w:ascii="GHEA Grapalat" w:hAnsi="GHEA Grapalat" w:cs="Sylfaen"/>
          <w:lang w:val="hy-AM"/>
        </w:rPr>
        <w:t xml:space="preserve">    </w:t>
      </w:r>
      <w:r w:rsidRPr="00174E87">
        <w:rPr>
          <w:rFonts w:ascii="GHEA Grapalat" w:hAnsi="GHEA Grapalat" w:cs="Sylfaen"/>
          <w:lang w:val="hy-AM"/>
        </w:rPr>
        <w:t xml:space="preserve">Սույն </w:t>
      </w:r>
      <w:r w:rsidR="00936FC7">
        <w:rPr>
          <w:rFonts w:ascii="GHEA Grapalat" w:hAnsi="GHEA Grapalat" w:cs="Sylfaen"/>
          <w:lang w:val="hy-AM"/>
        </w:rPr>
        <w:t>որոշ</w:t>
      </w:r>
      <w:r w:rsidR="00936FC7" w:rsidRPr="00936FC7">
        <w:rPr>
          <w:rFonts w:ascii="GHEA Grapalat" w:hAnsi="GHEA Grapalat" w:cs="Sylfaen"/>
          <w:lang w:val="hy-AM"/>
        </w:rPr>
        <w:t xml:space="preserve">ումն </w:t>
      </w:r>
      <w:r w:rsidRPr="00174E87">
        <w:rPr>
          <w:rFonts w:ascii="GHEA Grapalat" w:hAnsi="GHEA Grapalat" w:cs="Sylfaen"/>
          <w:lang w:val="hy-AM"/>
        </w:rPr>
        <w:t xml:space="preserve"> </w:t>
      </w:r>
      <w:r w:rsidR="00174E87" w:rsidRPr="00174E87">
        <w:rPr>
          <w:rFonts w:ascii="GHEA Grapalat" w:hAnsi="GHEA Grapalat" w:cs="Sylfaen"/>
          <w:lang w:val="hy-AM"/>
        </w:rPr>
        <w:t>ու</w:t>
      </w:r>
      <w:r w:rsidR="00936FC7" w:rsidRPr="00936FC7">
        <w:rPr>
          <w:rFonts w:ascii="GHEA Grapalat" w:hAnsi="GHEA Grapalat" w:cs="Sylfaen"/>
          <w:lang w:val="hy-AM"/>
        </w:rPr>
        <w:t>ժի մեջ է մտնում պաշտոնական հրապարակմանը հաջորդող օրվանից</w:t>
      </w:r>
      <w:r w:rsidR="00C66E5A" w:rsidRPr="00C66E5A">
        <w:rPr>
          <w:rFonts w:ascii="GHEA Grapalat" w:hAnsi="GHEA Grapalat" w:cs="Sylfaen"/>
          <w:lang w:val="hy-AM"/>
        </w:rPr>
        <w:t>:</w:t>
      </w:r>
      <w:r w:rsidR="003E174D"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72D1" w:rsidRPr="00174E87" w:rsidRDefault="003E174D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947A2E" w:rsidRDefault="00947A2E" w:rsidP="00947A2E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</w:t>
      </w:r>
      <w:r w:rsidRPr="00947A2E">
        <w:rPr>
          <w:rFonts w:ascii="GHEA Grapalat" w:hAnsi="GHEA Grapalat"/>
          <w:b/>
          <w:sz w:val="20"/>
          <w:szCs w:val="20"/>
          <w:lang w:val="hy-AM"/>
        </w:rPr>
        <w:t>Ա.ՀԱԿՈԲՅԱՆ</w:t>
      </w:r>
    </w:p>
    <w:p w:rsidR="00947A2E" w:rsidRDefault="00947A2E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</w:p>
    <w:p w:rsidR="00947A2E" w:rsidRDefault="00947A2E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233D49" w:rsidRPr="009051DA" w:rsidRDefault="005B2E23" w:rsidP="00BA46DB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  <w:r w:rsidR="00233D49" w:rsidRPr="009051DA">
        <w:rPr>
          <w:rFonts w:ascii="GHEA Grapalat" w:hAnsi="GHEA Grapalat" w:cs="Sylfaen"/>
          <w:b/>
          <w:szCs w:val="18"/>
          <w:lang w:val="hy-AM"/>
        </w:rPr>
        <w:t xml:space="preserve">    </w:t>
      </w:r>
    </w:p>
    <w:p w:rsidR="00233D49" w:rsidRPr="009051DA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15BF" w:rsidRPr="009051DA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«Հայաստանի Հանրապետության Շիրակի մարզի </w:t>
      </w:r>
      <w:r w:rsidR="00EE576E" w:rsidRPr="00B457C7">
        <w:rPr>
          <w:rFonts w:ascii="GHEA Grapalat" w:hAnsi="GHEA Grapalat" w:cs="Sylfaen"/>
          <w:lang w:val="hy-AM"/>
        </w:rPr>
        <w:t>Գյումրի համայնքի ավագանու 2022 թվականի դեկտեմբերի 26-ի N 266-Ն որոշման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մեջ փոփոխություններ կատարելու մասին» որոշման ընդունմամբ Գյումրի համայնքի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2023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ավելանալու են  համապատասխանաբար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1F12" w:rsidRPr="00F71F12">
        <w:rPr>
          <w:rFonts w:ascii="GHEA Grapalat" w:hAnsi="GHEA Grapalat" w:cs="Sylfaen"/>
          <w:sz w:val="20"/>
          <w:szCs w:val="20"/>
          <w:lang w:val="hy-AM"/>
        </w:rPr>
        <w:t>26 296 730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(</w:t>
      </w:r>
      <w:r w:rsidR="00F71F12" w:rsidRPr="00F71F12">
        <w:rPr>
          <w:rFonts w:ascii="GHEA Grapalat" w:hAnsi="GHEA Grapalat" w:cs="Sylfaen"/>
          <w:sz w:val="20"/>
          <w:szCs w:val="20"/>
          <w:lang w:val="hy-AM"/>
        </w:rPr>
        <w:t>քսանվեց միլիոն երկու հարյուր իննսունվեց հազար յոթ հարյուր երեսուն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)</w:t>
      </w:r>
      <w:r w:rsidR="0086303E" w:rsidRPr="008630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ՀՀ դրամով</w:t>
      </w:r>
      <w:r w:rsidR="004D7B1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D7B1D" w:rsidRPr="008A7CCF">
        <w:rPr>
          <w:rFonts w:ascii="GHEA Grapalat" w:hAnsi="GHEA Grapalat" w:cs="Sylfaen"/>
          <w:sz w:val="20"/>
          <w:szCs w:val="20"/>
          <w:lang w:val="hy-AM"/>
        </w:rPr>
        <w:t>&lt;&lt;Գյումրու համայքապետարանի քաղաքացիների սպասարկման գրասենյակի վերակառուցման  աշխատանքներ&gt;&gt;  ծրագրի իրականացման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 և 166 648 600 </w:t>
      </w:r>
      <w:r w:rsidR="000A4803" w:rsidRPr="009051DA">
        <w:rPr>
          <w:rFonts w:ascii="GHEA Grapalat" w:hAnsi="GHEA Grapalat" w:cs="Sylfaen"/>
          <w:sz w:val="20"/>
          <w:szCs w:val="20"/>
          <w:lang w:val="hy-AM"/>
        </w:rPr>
        <w:t>(</w:t>
      </w:r>
      <w:r w:rsidR="000A4803">
        <w:rPr>
          <w:rFonts w:ascii="GHEA Grapalat" w:hAnsi="GHEA Grapalat" w:cs="Sylfaen"/>
          <w:sz w:val="20"/>
          <w:szCs w:val="20"/>
          <w:lang w:val="hy-AM"/>
        </w:rPr>
        <w:t>մեկ հարյուր վաթսունվեց</w:t>
      </w:r>
      <w:r w:rsidR="000A4803" w:rsidRPr="00F71F12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0A4803">
        <w:rPr>
          <w:rFonts w:ascii="GHEA Grapalat" w:hAnsi="GHEA Grapalat" w:cs="Sylfaen"/>
          <w:sz w:val="20"/>
          <w:szCs w:val="20"/>
          <w:lang w:val="hy-AM"/>
        </w:rPr>
        <w:t>վեց</w:t>
      </w:r>
      <w:r w:rsidR="000A4803" w:rsidRPr="00F71F12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քառասունութ </w:t>
      </w:r>
      <w:r w:rsidR="000A4803" w:rsidRPr="00F71F12">
        <w:rPr>
          <w:rFonts w:ascii="GHEA Grapalat" w:hAnsi="GHEA Grapalat" w:cs="Sylfaen"/>
          <w:sz w:val="20"/>
          <w:szCs w:val="20"/>
          <w:lang w:val="hy-AM"/>
        </w:rPr>
        <w:t xml:space="preserve">հազար </w:t>
      </w:r>
      <w:r w:rsidR="000A4803">
        <w:rPr>
          <w:rFonts w:ascii="GHEA Grapalat" w:hAnsi="GHEA Grapalat" w:cs="Sylfaen"/>
          <w:sz w:val="20"/>
          <w:szCs w:val="20"/>
          <w:lang w:val="hy-AM"/>
        </w:rPr>
        <w:t>վեց</w:t>
      </w:r>
      <w:r w:rsidR="000A4803" w:rsidRPr="00F71F12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0A4803" w:rsidRPr="009051DA">
        <w:rPr>
          <w:rFonts w:ascii="GHEA Grapalat" w:hAnsi="GHEA Grapalat" w:cs="Sylfaen"/>
          <w:sz w:val="20"/>
          <w:szCs w:val="20"/>
          <w:lang w:val="hy-AM"/>
        </w:rPr>
        <w:t>)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 ՀՀ դրամ</w:t>
      </w:r>
      <w:r w:rsidR="000A4803" w:rsidRPr="000A48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A4803" w:rsidRPr="009051D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r w:rsidR="004D7B1D" w:rsidRPr="008A7CC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A4803">
        <w:rPr>
          <w:rFonts w:ascii="GHEA Grapalat" w:hAnsi="GHEA Grapalat" w:cs="Sylfaen"/>
          <w:sz w:val="20"/>
          <w:szCs w:val="20"/>
          <w:lang w:val="hy-AM"/>
        </w:rPr>
        <w:t>սոցիալական բնակարանների և մանկապարտեզների վերանորոգման, գույքի և տեխնիկաների, նստարանների և աղբամանների ձեռք բ</w:t>
      </w:r>
      <w:r w:rsidR="00A6799F">
        <w:rPr>
          <w:rFonts w:ascii="GHEA Grapalat" w:hAnsi="GHEA Grapalat" w:cs="Sylfaen"/>
          <w:sz w:val="20"/>
          <w:szCs w:val="20"/>
          <w:lang w:val="hy-AM"/>
        </w:rPr>
        <w:t>ե</w:t>
      </w:r>
      <w:r w:rsidR="000A4803">
        <w:rPr>
          <w:rFonts w:ascii="GHEA Grapalat" w:hAnsi="GHEA Grapalat" w:cs="Sylfaen"/>
          <w:sz w:val="20"/>
          <w:szCs w:val="20"/>
          <w:lang w:val="hy-AM"/>
        </w:rPr>
        <w:t>րման</w:t>
      </w:r>
      <w:r w:rsidR="00A6799F">
        <w:rPr>
          <w:rFonts w:ascii="GHEA Grapalat" w:hAnsi="GHEA Grapalat" w:cs="Sylfaen"/>
          <w:sz w:val="20"/>
          <w:szCs w:val="20"/>
          <w:lang w:val="hy-AM"/>
        </w:rPr>
        <w:t>, Աբովյան փող 232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6799F">
        <w:rPr>
          <w:rFonts w:ascii="GHEA Grapalat" w:hAnsi="GHEA Grapalat" w:cs="Sylfaen"/>
          <w:sz w:val="20"/>
          <w:szCs w:val="20"/>
          <w:lang w:val="hy-AM"/>
        </w:rPr>
        <w:t xml:space="preserve">հասցեում </w:t>
      </w:r>
      <w:r w:rsidR="000A4803">
        <w:rPr>
          <w:rFonts w:ascii="GHEA Grapalat" w:hAnsi="GHEA Grapalat" w:cs="Sylfaen"/>
          <w:sz w:val="20"/>
          <w:szCs w:val="20"/>
          <w:lang w:val="hy-AM"/>
        </w:rPr>
        <w:t xml:space="preserve">պատկերասրահի փայտե պատշգամբի </w:t>
      </w:r>
      <w:r w:rsidR="00A6799F">
        <w:rPr>
          <w:rFonts w:ascii="GHEA Grapalat" w:hAnsi="GHEA Grapalat" w:cs="Sylfaen"/>
          <w:sz w:val="20"/>
          <w:szCs w:val="20"/>
          <w:lang w:val="hy-AM"/>
        </w:rPr>
        <w:t xml:space="preserve">վերականգնման աշխատանքների </w:t>
      </w:r>
      <w:r w:rsidR="004D7B1D" w:rsidRPr="008A7CCF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4D7B1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4452AA" w:rsidRPr="009051DA" w:rsidRDefault="004452AA" w:rsidP="00034F36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0701B0" w:rsidRPr="00037FC6" w:rsidTr="004F4BB9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1B0" w:rsidRPr="00AA49C3" w:rsidRDefault="00AA49C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1241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A49C3" w:rsidRPr="00AA49C3" w:rsidRDefault="00AA49C3" w:rsidP="00AA49C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49C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Համայնքի բյուջե մուտքագրվող արտաքին պաշտոնական դրամաշնորհներ` ստացված միջազգային կազմակերպություններից կապիտալ ծախսերի ֆինանսավորման նպատակով </w:t>
            </w:r>
          </w:p>
          <w:p w:rsidR="000701B0" w:rsidRPr="00AA49C3" w:rsidRDefault="000701B0" w:rsidP="0043365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701B0" w:rsidRPr="00037FC6" w:rsidRDefault="00456043" w:rsidP="004C6781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26 296.730</w:t>
            </w:r>
          </w:p>
        </w:tc>
      </w:tr>
      <w:tr w:rsidR="00BD7D95" w:rsidRPr="00BD7D95" w:rsidTr="004F4BB9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7D95" w:rsidRDefault="00BD7D9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1261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D7D95" w:rsidRPr="00BD7D95" w:rsidRDefault="00BD7D95" w:rsidP="00BD7D9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7D95">
              <w:rPr>
                <w:rFonts w:ascii="GHEA Grapalat" w:hAnsi="GHEA Grapalat"/>
                <w:sz w:val="20"/>
                <w:szCs w:val="20"/>
                <w:lang w:val="hy-AM"/>
              </w:rPr>
              <w:t>Պետական բյուջեից կապիտալ ծախսերի ֆինանսավորման նպատակային հատկացումներ (սուբվենցիաներ)</w:t>
            </w:r>
          </w:p>
          <w:p w:rsidR="00BD7D95" w:rsidRPr="00AA49C3" w:rsidRDefault="00BD7D95" w:rsidP="00AA49C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D7D95" w:rsidRDefault="004F6FB1" w:rsidP="004C6781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166</w:t>
            </w:r>
            <w:r w:rsidR="007B27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648.</w:t>
            </w:r>
            <w:r w:rsidR="007B27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</w:t>
            </w:r>
          </w:p>
        </w:tc>
      </w:tr>
    </w:tbl>
    <w:p w:rsidR="00233D49" w:rsidRPr="00541FE7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037FC6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037FC6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8A7CCF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456043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8459E" w:rsidRPr="006A25DD" w:rsidRDefault="00D8459E" w:rsidP="00D8459E">
            <w:pPr>
              <w:jc w:val="both"/>
              <w:rPr>
                <w:sz w:val="20"/>
                <w:szCs w:val="20"/>
                <w:lang w:val="hy-AM"/>
              </w:rPr>
            </w:pPr>
          </w:p>
          <w:p w:rsidR="00233D49" w:rsidRPr="00456043" w:rsidRDefault="00456043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6043">
              <w:rPr>
                <w:rFonts w:ascii="GHEA Grapalat" w:hAnsi="GHEA Grapalat"/>
                <w:sz w:val="20"/>
                <w:szCs w:val="20"/>
                <w:lang w:val="hy-AM"/>
              </w:rPr>
              <w:t xml:space="preserve">Շենքերի և շինությունների կապիտալ </w:t>
            </w:r>
            <w:r w:rsidRPr="004560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456043" w:rsidRDefault="00456043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lastRenderedPageBreak/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9F7FAA" w:rsidRDefault="008A7CCF" w:rsidP="009F7FAA">
            <w:pPr>
              <w:spacing w:line="240" w:lineRule="auto"/>
              <w:ind w:right="-284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F7FAA">
              <w:rPr>
                <w:rFonts w:ascii="GHEA Grapalat" w:hAnsi="GHEA Grapalat" w:cs="Sylfaen"/>
                <w:sz w:val="20"/>
                <w:szCs w:val="20"/>
              </w:rPr>
              <w:t>16</w:t>
            </w:r>
            <w:r w:rsidR="009F7FAA" w:rsidRPr="009F7F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456043" w:rsidRPr="009F7FAA">
              <w:rPr>
                <w:rFonts w:ascii="GHEA Grapalat" w:hAnsi="GHEA Grapalat" w:cs="Sylfaen"/>
                <w:sz w:val="20"/>
                <w:szCs w:val="20"/>
              </w:rPr>
              <w:t>526</w:t>
            </w:r>
            <w:r w:rsidRPr="009F7FAA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456043" w:rsidRPr="009F7F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BB0280">
              <w:rPr>
                <w:rFonts w:ascii="GHEA Grapalat" w:hAnsi="GHEA Grapalat" w:cs="Sylfaen"/>
                <w:sz w:val="20"/>
                <w:szCs w:val="20"/>
              </w:rPr>
              <w:t>230</w:t>
            </w:r>
          </w:p>
        </w:tc>
      </w:tr>
      <w:tr w:rsidR="00034F36" w:rsidRPr="008A7CCF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4F36" w:rsidRPr="00456043" w:rsidRDefault="00456043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lastRenderedPageBreak/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Pr="008A7CCF" w:rsidRDefault="00456043" w:rsidP="00541FE7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A7CCF">
              <w:rPr>
                <w:rFonts w:ascii="GHEA Grapalat" w:hAnsi="GHEA Grapalat"/>
                <w:sz w:val="20"/>
                <w:szCs w:val="20"/>
                <w:lang w:val="hy-AM"/>
              </w:rPr>
              <w:t>Այլ մեքենաներ և սարքավորումներ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456043" w:rsidRDefault="00456043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9F7FAA" w:rsidRDefault="008A7CCF" w:rsidP="009F7FAA">
            <w:pPr>
              <w:spacing w:line="240" w:lineRule="auto"/>
              <w:ind w:right="-284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F7FAA">
              <w:rPr>
                <w:rFonts w:ascii="GHEA Grapalat" w:hAnsi="GHEA Grapalat" w:cs="Sylfaen"/>
                <w:sz w:val="20"/>
                <w:szCs w:val="20"/>
              </w:rPr>
              <w:t>8</w:t>
            </w:r>
            <w:r w:rsidR="009F7FAA" w:rsidRPr="009F7F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9F7FAA">
              <w:rPr>
                <w:rFonts w:ascii="GHEA Grapalat" w:hAnsi="GHEA Grapalat" w:cs="Sylfaen"/>
                <w:sz w:val="20"/>
                <w:szCs w:val="20"/>
              </w:rPr>
              <w:t>346.</w:t>
            </w:r>
            <w:r w:rsidR="009F7FAA" w:rsidRPr="009F7FA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</w:tr>
      <w:tr w:rsidR="006F09D6" w:rsidRPr="008A7CCF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09D6" w:rsidRPr="00456043" w:rsidRDefault="00456043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F09D6" w:rsidRPr="00456043" w:rsidRDefault="00B47C03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A7CCF">
              <w:rPr>
                <w:rFonts w:ascii="GHEA Grapalat" w:hAnsi="GHEA Grapalat"/>
                <w:sz w:val="20"/>
                <w:szCs w:val="20"/>
                <w:lang w:val="hy-AM"/>
              </w:rPr>
              <w:t>Աճեցվող ակտիվներ</w:t>
            </w:r>
            <w:r w:rsidR="00D8459E" w:rsidRPr="00456043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456043" w:rsidRDefault="00456043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9F7FAA" w:rsidRDefault="008A7CCF" w:rsidP="009F7FAA">
            <w:pPr>
              <w:spacing w:line="240" w:lineRule="auto"/>
              <w:ind w:right="-284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F7FAA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="009F7FAA" w:rsidRPr="009F7FA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9F7FAA">
              <w:rPr>
                <w:rFonts w:ascii="GHEA Grapalat" w:hAnsi="GHEA Grapalat" w:cs="Sylfaen"/>
                <w:sz w:val="20"/>
                <w:szCs w:val="20"/>
              </w:rPr>
              <w:t>264.</w:t>
            </w:r>
            <w:r w:rsidR="00456043" w:rsidRPr="009F7FAA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</w:tr>
      <w:tr w:rsidR="00456043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56043" w:rsidRPr="008A7CCF" w:rsidRDefault="00B47C03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8A7CC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56043" w:rsidRDefault="00B47C03" w:rsidP="001E3F8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A7CCF">
              <w:rPr>
                <w:rFonts w:ascii="GHEA Grapalat" w:hAnsi="GHEA Grapalat"/>
                <w:sz w:val="20"/>
                <w:szCs w:val="20"/>
                <w:lang w:val="hy-AM"/>
              </w:rPr>
              <w:t>Նախագծահետազոտական ծախսե</w:t>
            </w:r>
            <w:r>
              <w:rPr>
                <w:rFonts w:ascii="GHEA Grapalat" w:hAnsi="GHEA Grapalat"/>
                <w:sz w:val="20"/>
                <w:szCs w:val="20"/>
              </w:rPr>
              <w:t>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56043" w:rsidRDefault="00456043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56043" w:rsidRPr="009F7FAA" w:rsidRDefault="00456043" w:rsidP="009F7FAA">
            <w:pPr>
              <w:spacing w:line="240" w:lineRule="auto"/>
              <w:ind w:right="-284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F7FAA">
              <w:rPr>
                <w:rFonts w:ascii="GHEA Grapalat" w:hAnsi="GHEA Grapalat" w:cs="Sylfaen"/>
                <w:sz w:val="20"/>
                <w:szCs w:val="20"/>
              </w:rPr>
              <w:t>160.0</w:t>
            </w:r>
          </w:p>
        </w:tc>
      </w:tr>
      <w:tr w:rsidR="004F6FB1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6FB1" w:rsidRPr="008A7CCF" w:rsidRDefault="004F6FB1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F6FB1" w:rsidRPr="009F7FAA" w:rsidRDefault="009F7FAA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սարքավորումներ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Default="004F6FB1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Pr="009F7FAA" w:rsidRDefault="004F6FB1" w:rsidP="009F7FA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57</w:t>
            </w:r>
            <w:r w:rsidR="009F7FAA"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150.0</w:t>
            </w:r>
          </w:p>
        </w:tc>
      </w:tr>
      <w:tr w:rsidR="004F6FB1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6FB1" w:rsidRPr="008A7CCF" w:rsidRDefault="004F6FB1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F6FB1" w:rsidRPr="007B279E" w:rsidRDefault="007B279E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մեքենաներ և սարքավորումներ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Default="004F6FB1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Pr="009F7FAA" w:rsidRDefault="004F6FB1" w:rsidP="009F7FA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5 990 .7</w:t>
            </w:r>
          </w:p>
        </w:tc>
      </w:tr>
      <w:tr w:rsidR="004F6FB1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6FB1" w:rsidRPr="008A7CCF" w:rsidRDefault="004F6FB1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F6FB1" w:rsidRPr="007B279E" w:rsidRDefault="007B279E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B279E">
              <w:rPr>
                <w:rFonts w:ascii="GHEA Grapalat" w:hAnsi="GHEA Grapalat"/>
                <w:sz w:val="20"/>
                <w:szCs w:val="20"/>
                <w:lang w:val="hy-AM"/>
              </w:rPr>
              <w:t>Շենքերի և շինությունների 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Default="004F6FB1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Pr="009F7FAA" w:rsidRDefault="004F6FB1" w:rsidP="009F7FA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96</w:t>
            </w:r>
            <w:r w:rsidR="009F7FAA"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884.2</w:t>
            </w:r>
          </w:p>
        </w:tc>
      </w:tr>
      <w:tr w:rsidR="004F6FB1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6FB1" w:rsidRDefault="004F6FB1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F6FB1" w:rsidRPr="007B279E" w:rsidRDefault="007B279E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Default="004F6FB1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F6FB1" w:rsidRPr="009F7FAA" w:rsidRDefault="009F7FAA" w:rsidP="009F7FA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F7FA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6 623.7</w:t>
            </w:r>
          </w:p>
        </w:tc>
      </w:tr>
    </w:tbl>
    <w:p w:rsidR="00233D49" w:rsidRPr="00BA46DB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4069AD" w:rsidRPr="0093587B" w:rsidRDefault="004C5A16" w:rsidP="00D82F17">
      <w:pPr>
        <w:spacing w:line="240" w:lineRule="auto"/>
        <w:ind w:left="1134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Pr="007D480E" w:rsidRDefault="004069AD" w:rsidP="004069AD">
      <w:pPr>
        <w:spacing w:line="240" w:lineRule="auto"/>
        <w:ind w:right="-284" w:firstLine="284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4069AD" w:rsidRPr="006044AF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784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780"/>
        <w:gridCol w:w="1350"/>
        <w:gridCol w:w="1440"/>
      </w:tblGrid>
      <w:tr w:rsidR="00F76541" w:rsidRPr="0093587B" w:rsidTr="00060874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</w:tr>
      <w:tr w:rsidR="00FE716F" w:rsidRPr="0093587B" w:rsidTr="00094CA2">
        <w:trPr>
          <w:trHeight w:val="103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37FC6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037FC6" w:rsidRDefault="00FE716F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037FC6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60000.0</w:t>
            </w:r>
          </w:p>
        </w:tc>
      </w:tr>
      <w:tr w:rsidR="00FE716F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5/6/1</w:t>
            </w:r>
          </w:p>
        </w:tc>
        <w:tc>
          <w:tcPr>
            <w:tcW w:w="3780" w:type="dxa"/>
            <w:shd w:val="clear" w:color="auto" w:fill="auto"/>
            <w:hideMark/>
          </w:tcPr>
          <w:p w:rsidR="00FE716F" w:rsidRDefault="00FE716F">
            <w:r w:rsidRPr="0076433B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5400.0</w:t>
            </w:r>
          </w:p>
        </w:tc>
      </w:tr>
      <w:tr w:rsidR="00FE716F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6/6/1</w:t>
            </w:r>
          </w:p>
        </w:tc>
        <w:tc>
          <w:tcPr>
            <w:tcW w:w="3780" w:type="dxa"/>
            <w:shd w:val="clear" w:color="auto" w:fill="auto"/>
            <w:hideMark/>
          </w:tcPr>
          <w:p w:rsidR="00FE716F" w:rsidRDefault="00FE716F">
            <w:r w:rsidRPr="0076433B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10400.0</w:t>
            </w:r>
          </w:p>
        </w:tc>
      </w:tr>
      <w:tr w:rsidR="00FE716F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6433B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BB0280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  <w:r w:rsidR="008A7CC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</w:t>
            </w:r>
            <w:r w:rsidR="00FE71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BB0280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BB0280" w:rsidRDefault="00BB0280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BB0280" w:rsidRDefault="00BB0280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Ներկայացուցչական ծախսեր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B0280" w:rsidRDefault="00BB0280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B0280" w:rsidRDefault="00BB0280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2000,0</w:t>
            </w:r>
          </w:p>
        </w:tc>
      </w:tr>
      <w:tr w:rsidR="00FE716F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8/1/1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նպաստներ բյուջեից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20000.0</w:t>
            </w:r>
          </w:p>
        </w:tc>
      </w:tr>
      <w:tr w:rsidR="00FE716F" w:rsidRPr="0093587B" w:rsidTr="00094CA2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1/6/1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ներքին վարկի տոկոսավճարներ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4412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200.0</w:t>
            </w:r>
          </w:p>
        </w:tc>
      </w:tr>
      <w:tr w:rsidR="00FE716F" w:rsidRPr="0093587B" w:rsidTr="00094CA2">
        <w:trPr>
          <w:trHeight w:val="1007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37FC6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lastRenderedPageBreak/>
              <w:t>4/5/1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D8459E" w:rsidRDefault="00FE716F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D8459E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2000.0</w:t>
            </w:r>
          </w:p>
        </w:tc>
      </w:tr>
      <w:tr w:rsidR="00FE716F" w:rsidRPr="0093587B" w:rsidTr="00094CA2">
        <w:trPr>
          <w:trHeight w:val="845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37FC6" w:rsidRDefault="00FE716F" w:rsidP="00955147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6/4/1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D8459E" w:rsidRDefault="00FE716F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D8459E" w:rsidRDefault="00FE716F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5000.0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F76541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A05B9C" w:rsidRDefault="00FE716F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Կոմունալ ծառայություններ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F76541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8A7CC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-12</w:t>
            </w:r>
            <w:r w:rsidR="00FE71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4717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Մասնագիտական ծառայություն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4241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8A7CC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</w:t>
            </w:r>
            <w:r w:rsidR="00FE716F">
              <w:rPr>
                <w:rFonts w:ascii="GHEA Grapalat" w:hAnsi="GHEA Grapalat"/>
                <w:color w:val="000000"/>
                <w:sz w:val="20"/>
                <w:szCs w:val="20"/>
              </w:rPr>
              <w:t>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D8459E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737877" w:rsidRDefault="00FE716F" w:rsidP="00270E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Արտասահմանյան գործուղմների գծով ծախսեր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737877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-2000.0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737877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753DE6" w:rsidRDefault="00930DF0" w:rsidP="004717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Համակարգչային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955147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-2000.0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955147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753DE6" w:rsidRDefault="00FE716F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Ապահովագրական ծախսեր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753DE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-2000.0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Default="00FE716F" w:rsidP="009551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753DE6" w:rsidRDefault="008A7CCF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Էներգետիկ ծառայություններ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955147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-3000.0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955147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9/1/1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737877" w:rsidRDefault="00FE716F" w:rsidP="0095514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Սուբսիդիաներ ոչ ֆինանսական համայնքային կազմակ.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737877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4511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-15000.0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955147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Pr="00955147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ծախսեր բյուջեից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955147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-3900.0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ծախսեր բյուջեից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79277E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</w:t>
            </w:r>
            <w:r w:rsidR="00FE716F">
              <w:rPr>
                <w:rFonts w:ascii="GHEA Grapalat" w:hAnsi="GHEA Grapalat"/>
                <w:color w:val="000000"/>
                <w:sz w:val="20"/>
                <w:szCs w:val="20"/>
              </w:rPr>
              <w:t>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Ներքին գործուղումներ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79277E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39</w:t>
            </w:r>
            <w:r w:rsidR="00FE716F">
              <w:rPr>
                <w:rFonts w:ascii="GHEA Grapalat" w:hAnsi="GHEA Grapalat"/>
                <w:color w:val="000000"/>
                <w:sz w:val="20"/>
                <w:szCs w:val="20"/>
              </w:rPr>
              <w:t>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270E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Արտասահմանյան գործուղմների գծով ծախսեր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-1500.0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-3000.0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8/2/7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8/2/7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270E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10/3/1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-600.0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6/4/1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270E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Էներգետիկ ծառայություններ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-20000.0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6/4/1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-2000.0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8/2/3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-9000.0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270E56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8/2/2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270E56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-10000.0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8/4/2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E320DE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-6000.0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ծախսեր բյուջեից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E320DE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-8000.0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E320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Բնակարանային նպաստներ բյուջեից    </w:t>
            </w:r>
          </w:p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E320DE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4728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10/7/1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E320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Գրասենյակային նյութեր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E320DE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-1300.0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10/7/1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նպաստներ բյուջեից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Pr="00E320DE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4729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-5000.0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10/7/1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-300.0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-700.0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Գրասենյակային նյութեր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-600.0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E320DE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Տրանսպորտային ծախսեր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-800.0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60874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Մասնագիտական ծառայություն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4241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-3400.0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60874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60874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9/6/1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-5000.0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060874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197C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Մեքենաների և սարքավորումների ընթացիկ նորոգում և պահպանում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4252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-850.0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DC371A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-150.0</w:t>
            </w:r>
          </w:p>
        </w:tc>
      </w:tr>
      <w:tr w:rsidR="00FE716F" w:rsidRPr="00856A50" w:rsidTr="00094CA2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E716F" w:rsidRPr="00DC371A" w:rsidRDefault="00FE716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E716F" w:rsidRDefault="00FE716F" w:rsidP="00197C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Պարտադիր վճարներ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E716F" w:rsidRDefault="00FE716F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4823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E716F" w:rsidRDefault="00FE716F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-800.0</w:t>
            </w:r>
          </w:p>
        </w:tc>
      </w:tr>
    </w:tbl>
    <w:p w:rsidR="00BC5088" w:rsidRPr="00737877" w:rsidRDefault="00737877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</w:p>
    <w:p w:rsidR="00197C82" w:rsidRPr="00737877" w:rsidRDefault="00197C8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sectPr w:rsidR="00197C82" w:rsidRPr="00737877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AE3" w:rsidRDefault="00D57AE3" w:rsidP="00986E8B">
      <w:pPr>
        <w:spacing w:after="0" w:line="240" w:lineRule="auto"/>
      </w:pPr>
      <w:r>
        <w:separator/>
      </w:r>
    </w:p>
  </w:endnote>
  <w:endnote w:type="continuationSeparator" w:id="1">
    <w:p w:rsidR="00D57AE3" w:rsidRDefault="00D57AE3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AE3" w:rsidRDefault="00D57AE3" w:rsidP="00986E8B">
      <w:pPr>
        <w:spacing w:after="0" w:line="240" w:lineRule="auto"/>
      </w:pPr>
      <w:r>
        <w:separator/>
      </w:r>
    </w:p>
  </w:footnote>
  <w:footnote w:type="continuationSeparator" w:id="1">
    <w:p w:rsidR="00D57AE3" w:rsidRDefault="00D57AE3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25D92"/>
    <w:rsid w:val="00034F36"/>
    <w:rsid w:val="00037FC6"/>
    <w:rsid w:val="00041524"/>
    <w:rsid w:val="00042CB6"/>
    <w:rsid w:val="00043AF4"/>
    <w:rsid w:val="00050435"/>
    <w:rsid w:val="00052B3F"/>
    <w:rsid w:val="00052D10"/>
    <w:rsid w:val="000532BC"/>
    <w:rsid w:val="00060874"/>
    <w:rsid w:val="000701B0"/>
    <w:rsid w:val="00070770"/>
    <w:rsid w:val="00071801"/>
    <w:rsid w:val="00071A48"/>
    <w:rsid w:val="00071DE9"/>
    <w:rsid w:val="00076453"/>
    <w:rsid w:val="00076C02"/>
    <w:rsid w:val="000909D0"/>
    <w:rsid w:val="0009177C"/>
    <w:rsid w:val="0009507E"/>
    <w:rsid w:val="00095927"/>
    <w:rsid w:val="000A1C00"/>
    <w:rsid w:val="000A1C50"/>
    <w:rsid w:val="000A4803"/>
    <w:rsid w:val="000A7C3B"/>
    <w:rsid w:val="000B3239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0F7D93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7FB"/>
    <w:rsid w:val="00140EF2"/>
    <w:rsid w:val="00140FD8"/>
    <w:rsid w:val="00145771"/>
    <w:rsid w:val="00146897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7BD"/>
    <w:rsid w:val="00181E40"/>
    <w:rsid w:val="0018239D"/>
    <w:rsid w:val="001873EA"/>
    <w:rsid w:val="00191BCD"/>
    <w:rsid w:val="00196144"/>
    <w:rsid w:val="00197C82"/>
    <w:rsid w:val="001A1267"/>
    <w:rsid w:val="001A3797"/>
    <w:rsid w:val="001A3A88"/>
    <w:rsid w:val="001A428D"/>
    <w:rsid w:val="001A7329"/>
    <w:rsid w:val="001B07F9"/>
    <w:rsid w:val="001B1361"/>
    <w:rsid w:val="001B2756"/>
    <w:rsid w:val="001B77C3"/>
    <w:rsid w:val="001C3255"/>
    <w:rsid w:val="001C6A2A"/>
    <w:rsid w:val="001C72CE"/>
    <w:rsid w:val="001C79D1"/>
    <w:rsid w:val="001D2001"/>
    <w:rsid w:val="001D2B21"/>
    <w:rsid w:val="001D2F2D"/>
    <w:rsid w:val="001D534C"/>
    <w:rsid w:val="001D5C10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5B93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450"/>
    <w:rsid w:val="002476ED"/>
    <w:rsid w:val="00247BEC"/>
    <w:rsid w:val="00250DE5"/>
    <w:rsid w:val="00261A30"/>
    <w:rsid w:val="0026743F"/>
    <w:rsid w:val="00267811"/>
    <w:rsid w:val="00270E56"/>
    <w:rsid w:val="00274620"/>
    <w:rsid w:val="00274CF9"/>
    <w:rsid w:val="00277281"/>
    <w:rsid w:val="00283067"/>
    <w:rsid w:val="00283604"/>
    <w:rsid w:val="00283EA4"/>
    <w:rsid w:val="0029114F"/>
    <w:rsid w:val="00292437"/>
    <w:rsid w:val="002A01CE"/>
    <w:rsid w:val="002A06CD"/>
    <w:rsid w:val="002A1C9F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A00"/>
    <w:rsid w:val="00302B7C"/>
    <w:rsid w:val="00304929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4C55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4996"/>
    <w:rsid w:val="003A5494"/>
    <w:rsid w:val="003B0E7F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3641"/>
    <w:rsid w:val="003F4958"/>
    <w:rsid w:val="003F7D73"/>
    <w:rsid w:val="00404ECE"/>
    <w:rsid w:val="004069AD"/>
    <w:rsid w:val="00412BB5"/>
    <w:rsid w:val="00412FC0"/>
    <w:rsid w:val="00421109"/>
    <w:rsid w:val="00421A9E"/>
    <w:rsid w:val="00422155"/>
    <w:rsid w:val="00422ACE"/>
    <w:rsid w:val="004274E6"/>
    <w:rsid w:val="004300CD"/>
    <w:rsid w:val="00430AE7"/>
    <w:rsid w:val="00433651"/>
    <w:rsid w:val="004435D2"/>
    <w:rsid w:val="004452AA"/>
    <w:rsid w:val="00452C8D"/>
    <w:rsid w:val="00453161"/>
    <w:rsid w:val="00456043"/>
    <w:rsid w:val="00457F9A"/>
    <w:rsid w:val="00460E44"/>
    <w:rsid w:val="00461854"/>
    <w:rsid w:val="00462EC3"/>
    <w:rsid w:val="004715B8"/>
    <w:rsid w:val="0047176E"/>
    <w:rsid w:val="004732C9"/>
    <w:rsid w:val="00474825"/>
    <w:rsid w:val="004813C2"/>
    <w:rsid w:val="0048588B"/>
    <w:rsid w:val="00490ADC"/>
    <w:rsid w:val="00495069"/>
    <w:rsid w:val="004A0C94"/>
    <w:rsid w:val="004A4183"/>
    <w:rsid w:val="004A7F2F"/>
    <w:rsid w:val="004B55C9"/>
    <w:rsid w:val="004B6ED4"/>
    <w:rsid w:val="004C1EEB"/>
    <w:rsid w:val="004C5A16"/>
    <w:rsid w:val="004C6781"/>
    <w:rsid w:val="004D0F00"/>
    <w:rsid w:val="004D2487"/>
    <w:rsid w:val="004D6D7C"/>
    <w:rsid w:val="004D7B1D"/>
    <w:rsid w:val="004E0A54"/>
    <w:rsid w:val="004E1FC1"/>
    <w:rsid w:val="004E2193"/>
    <w:rsid w:val="004E3081"/>
    <w:rsid w:val="004E35C5"/>
    <w:rsid w:val="004F2FC8"/>
    <w:rsid w:val="004F44BA"/>
    <w:rsid w:val="004F4BB9"/>
    <w:rsid w:val="004F6FB1"/>
    <w:rsid w:val="005001B3"/>
    <w:rsid w:val="0050347F"/>
    <w:rsid w:val="00504A2E"/>
    <w:rsid w:val="00505834"/>
    <w:rsid w:val="00506B69"/>
    <w:rsid w:val="00513AF4"/>
    <w:rsid w:val="00516DF8"/>
    <w:rsid w:val="00516F4C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2839"/>
    <w:rsid w:val="0055431B"/>
    <w:rsid w:val="00555EDD"/>
    <w:rsid w:val="005560C6"/>
    <w:rsid w:val="00556CF9"/>
    <w:rsid w:val="00562923"/>
    <w:rsid w:val="00564384"/>
    <w:rsid w:val="005646EE"/>
    <w:rsid w:val="00570EAE"/>
    <w:rsid w:val="00572274"/>
    <w:rsid w:val="00576187"/>
    <w:rsid w:val="0057699E"/>
    <w:rsid w:val="005843B4"/>
    <w:rsid w:val="005859BD"/>
    <w:rsid w:val="005877A1"/>
    <w:rsid w:val="005904DE"/>
    <w:rsid w:val="00591473"/>
    <w:rsid w:val="0059446D"/>
    <w:rsid w:val="005966C2"/>
    <w:rsid w:val="005A3295"/>
    <w:rsid w:val="005A3BF4"/>
    <w:rsid w:val="005A5588"/>
    <w:rsid w:val="005B2E23"/>
    <w:rsid w:val="005B6963"/>
    <w:rsid w:val="005B76A8"/>
    <w:rsid w:val="005C20FB"/>
    <w:rsid w:val="005C32D3"/>
    <w:rsid w:val="005C4CE2"/>
    <w:rsid w:val="005C621B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06ABB"/>
    <w:rsid w:val="0061119B"/>
    <w:rsid w:val="006176C3"/>
    <w:rsid w:val="00621B81"/>
    <w:rsid w:val="00625037"/>
    <w:rsid w:val="0062761D"/>
    <w:rsid w:val="006359B4"/>
    <w:rsid w:val="00637286"/>
    <w:rsid w:val="00640F3A"/>
    <w:rsid w:val="00641DD7"/>
    <w:rsid w:val="00642C13"/>
    <w:rsid w:val="006442D1"/>
    <w:rsid w:val="00650E5C"/>
    <w:rsid w:val="00654CE7"/>
    <w:rsid w:val="006569E3"/>
    <w:rsid w:val="006604DA"/>
    <w:rsid w:val="00660CFA"/>
    <w:rsid w:val="0066211C"/>
    <w:rsid w:val="00662ABE"/>
    <w:rsid w:val="00663699"/>
    <w:rsid w:val="00673400"/>
    <w:rsid w:val="00673CC2"/>
    <w:rsid w:val="00675D8A"/>
    <w:rsid w:val="0067688C"/>
    <w:rsid w:val="00680007"/>
    <w:rsid w:val="00682E48"/>
    <w:rsid w:val="006849D5"/>
    <w:rsid w:val="00684A4D"/>
    <w:rsid w:val="0068539C"/>
    <w:rsid w:val="00686080"/>
    <w:rsid w:val="0069595D"/>
    <w:rsid w:val="006A2428"/>
    <w:rsid w:val="006A25DD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E6DE0"/>
    <w:rsid w:val="006F09D6"/>
    <w:rsid w:val="006F21D2"/>
    <w:rsid w:val="006F610E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37877"/>
    <w:rsid w:val="00742278"/>
    <w:rsid w:val="0074325D"/>
    <w:rsid w:val="007446E6"/>
    <w:rsid w:val="00744C65"/>
    <w:rsid w:val="00747C15"/>
    <w:rsid w:val="00747C60"/>
    <w:rsid w:val="00753DE6"/>
    <w:rsid w:val="00762318"/>
    <w:rsid w:val="00772C87"/>
    <w:rsid w:val="0077393E"/>
    <w:rsid w:val="00775CF4"/>
    <w:rsid w:val="00777928"/>
    <w:rsid w:val="007820FD"/>
    <w:rsid w:val="0078323F"/>
    <w:rsid w:val="007840F9"/>
    <w:rsid w:val="00784472"/>
    <w:rsid w:val="00785F72"/>
    <w:rsid w:val="007919AB"/>
    <w:rsid w:val="0079277E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279E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E7348"/>
    <w:rsid w:val="007F323A"/>
    <w:rsid w:val="00802118"/>
    <w:rsid w:val="008200C1"/>
    <w:rsid w:val="00820535"/>
    <w:rsid w:val="00820ABF"/>
    <w:rsid w:val="0082275A"/>
    <w:rsid w:val="008275E4"/>
    <w:rsid w:val="00830C01"/>
    <w:rsid w:val="00835663"/>
    <w:rsid w:val="0084334A"/>
    <w:rsid w:val="00844394"/>
    <w:rsid w:val="00845F49"/>
    <w:rsid w:val="0084680F"/>
    <w:rsid w:val="0085041E"/>
    <w:rsid w:val="00851508"/>
    <w:rsid w:val="00856387"/>
    <w:rsid w:val="00861F28"/>
    <w:rsid w:val="0086303E"/>
    <w:rsid w:val="008710E7"/>
    <w:rsid w:val="00873DE4"/>
    <w:rsid w:val="0087764B"/>
    <w:rsid w:val="0088297C"/>
    <w:rsid w:val="00883831"/>
    <w:rsid w:val="00883EB9"/>
    <w:rsid w:val="0088411E"/>
    <w:rsid w:val="0088432E"/>
    <w:rsid w:val="00887D9C"/>
    <w:rsid w:val="008935C9"/>
    <w:rsid w:val="00895656"/>
    <w:rsid w:val="008A0962"/>
    <w:rsid w:val="008A0A30"/>
    <w:rsid w:val="008A0EB0"/>
    <w:rsid w:val="008A7CCF"/>
    <w:rsid w:val="008B13CF"/>
    <w:rsid w:val="008B44E3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CE6"/>
    <w:rsid w:val="00904E0C"/>
    <w:rsid w:val="00905CC8"/>
    <w:rsid w:val="0091334D"/>
    <w:rsid w:val="0092146C"/>
    <w:rsid w:val="00923029"/>
    <w:rsid w:val="00930DF0"/>
    <w:rsid w:val="009336B4"/>
    <w:rsid w:val="00936FC7"/>
    <w:rsid w:val="00940133"/>
    <w:rsid w:val="00943E71"/>
    <w:rsid w:val="00946E88"/>
    <w:rsid w:val="00947A2E"/>
    <w:rsid w:val="00950399"/>
    <w:rsid w:val="009510C3"/>
    <w:rsid w:val="009534F7"/>
    <w:rsid w:val="00954518"/>
    <w:rsid w:val="00955147"/>
    <w:rsid w:val="009572D1"/>
    <w:rsid w:val="00966B69"/>
    <w:rsid w:val="00970803"/>
    <w:rsid w:val="00970829"/>
    <w:rsid w:val="009732DC"/>
    <w:rsid w:val="00973982"/>
    <w:rsid w:val="009744A5"/>
    <w:rsid w:val="00977C0B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9F7FAA"/>
    <w:rsid w:val="00A008C6"/>
    <w:rsid w:val="00A03587"/>
    <w:rsid w:val="00A05B9C"/>
    <w:rsid w:val="00A07741"/>
    <w:rsid w:val="00A10D64"/>
    <w:rsid w:val="00A12223"/>
    <w:rsid w:val="00A157F6"/>
    <w:rsid w:val="00A15FEB"/>
    <w:rsid w:val="00A1614D"/>
    <w:rsid w:val="00A23E9D"/>
    <w:rsid w:val="00A24B42"/>
    <w:rsid w:val="00A24E6E"/>
    <w:rsid w:val="00A25C97"/>
    <w:rsid w:val="00A27D61"/>
    <w:rsid w:val="00A305D5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6799F"/>
    <w:rsid w:val="00A70437"/>
    <w:rsid w:val="00A71AFE"/>
    <w:rsid w:val="00A71D9C"/>
    <w:rsid w:val="00A77292"/>
    <w:rsid w:val="00A8404E"/>
    <w:rsid w:val="00A85025"/>
    <w:rsid w:val="00A863DC"/>
    <w:rsid w:val="00A91FBF"/>
    <w:rsid w:val="00A93FB5"/>
    <w:rsid w:val="00A979E4"/>
    <w:rsid w:val="00AA46D0"/>
    <w:rsid w:val="00AA49C3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374F6"/>
    <w:rsid w:val="00B40A14"/>
    <w:rsid w:val="00B457C7"/>
    <w:rsid w:val="00B4682E"/>
    <w:rsid w:val="00B46CAD"/>
    <w:rsid w:val="00B46FB3"/>
    <w:rsid w:val="00B47C0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8506D"/>
    <w:rsid w:val="00B916D5"/>
    <w:rsid w:val="00B94441"/>
    <w:rsid w:val="00B94FFD"/>
    <w:rsid w:val="00B95406"/>
    <w:rsid w:val="00B96951"/>
    <w:rsid w:val="00BA1BE8"/>
    <w:rsid w:val="00BA3E59"/>
    <w:rsid w:val="00BA46DB"/>
    <w:rsid w:val="00BA5D76"/>
    <w:rsid w:val="00BA60BA"/>
    <w:rsid w:val="00BB0280"/>
    <w:rsid w:val="00BB259E"/>
    <w:rsid w:val="00BB7DA4"/>
    <w:rsid w:val="00BC2D67"/>
    <w:rsid w:val="00BC5088"/>
    <w:rsid w:val="00BC565E"/>
    <w:rsid w:val="00BC65C1"/>
    <w:rsid w:val="00BD0CB0"/>
    <w:rsid w:val="00BD5B32"/>
    <w:rsid w:val="00BD789E"/>
    <w:rsid w:val="00BD7D95"/>
    <w:rsid w:val="00BE0639"/>
    <w:rsid w:val="00BF3707"/>
    <w:rsid w:val="00C012C1"/>
    <w:rsid w:val="00C07DCF"/>
    <w:rsid w:val="00C141E1"/>
    <w:rsid w:val="00C16E76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6442F"/>
    <w:rsid w:val="00C65D4B"/>
    <w:rsid w:val="00C66E5A"/>
    <w:rsid w:val="00C85CF6"/>
    <w:rsid w:val="00C86507"/>
    <w:rsid w:val="00C86ECC"/>
    <w:rsid w:val="00C9386B"/>
    <w:rsid w:val="00C9404B"/>
    <w:rsid w:val="00C95C21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C7317"/>
    <w:rsid w:val="00CD4DE7"/>
    <w:rsid w:val="00CD51C8"/>
    <w:rsid w:val="00CD5534"/>
    <w:rsid w:val="00CD5EC6"/>
    <w:rsid w:val="00CD7A28"/>
    <w:rsid w:val="00CD7DB4"/>
    <w:rsid w:val="00CE03AF"/>
    <w:rsid w:val="00CE2F9A"/>
    <w:rsid w:val="00CE6813"/>
    <w:rsid w:val="00CF0589"/>
    <w:rsid w:val="00D01146"/>
    <w:rsid w:val="00D05EAC"/>
    <w:rsid w:val="00D074D3"/>
    <w:rsid w:val="00D10CC8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46AAF"/>
    <w:rsid w:val="00D57AE3"/>
    <w:rsid w:val="00D62E4F"/>
    <w:rsid w:val="00D742DF"/>
    <w:rsid w:val="00D82F17"/>
    <w:rsid w:val="00D8459E"/>
    <w:rsid w:val="00D8472A"/>
    <w:rsid w:val="00D8681D"/>
    <w:rsid w:val="00DA5192"/>
    <w:rsid w:val="00DB0636"/>
    <w:rsid w:val="00DB5ABB"/>
    <w:rsid w:val="00DB6CB4"/>
    <w:rsid w:val="00DB7F3D"/>
    <w:rsid w:val="00DC371A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493F"/>
    <w:rsid w:val="00DF5A19"/>
    <w:rsid w:val="00DF6522"/>
    <w:rsid w:val="00DF6AAE"/>
    <w:rsid w:val="00E01E48"/>
    <w:rsid w:val="00E062B2"/>
    <w:rsid w:val="00E1246D"/>
    <w:rsid w:val="00E15505"/>
    <w:rsid w:val="00E1554D"/>
    <w:rsid w:val="00E1787C"/>
    <w:rsid w:val="00E2121C"/>
    <w:rsid w:val="00E215C1"/>
    <w:rsid w:val="00E22255"/>
    <w:rsid w:val="00E2525E"/>
    <w:rsid w:val="00E252D2"/>
    <w:rsid w:val="00E25544"/>
    <w:rsid w:val="00E2687A"/>
    <w:rsid w:val="00E27073"/>
    <w:rsid w:val="00E27DEE"/>
    <w:rsid w:val="00E320D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5FC3"/>
    <w:rsid w:val="00E579D3"/>
    <w:rsid w:val="00E64799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484"/>
    <w:rsid w:val="00EA0862"/>
    <w:rsid w:val="00EA231D"/>
    <w:rsid w:val="00EB0E28"/>
    <w:rsid w:val="00EB193B"/>
    <w:rsid w:val="00EB1F01"/>
    <w:rsid w:val="00EB3104"/>
    <w:rsid w:val="00EB4B61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476"/>
    <w:rsid w:val="00EF3A8B"/>
    <w:rsid w:val="00EF48EE"/>
    <w:rsid w:val="00F00AA4"/>
    <w:rsid w:val="00F025FF"/>
    <w:rsid w:val="00F03234"/>
    <w:rsid w:val="00F05F53"/>
    <w:rsid w:val="00F06378"/>
    <w:rsid w:val="00F0658A"/>
    <w:rsid w:val="00F06754"/>
    <w:rsid w:val="00F100EF"/>
    <w:rsid w:val="00F137DC"/>
    <w:rsid w:val="00F16ED7"/>
    <w:rsid w:val="00F20C8A"/>
    <w:rsid w:val="00F21902"/>
    <w:rsid w:val="00F219D2"/>
    <w:rsid w:val="00F24033"/>
    <w:rsid w:val="00F25394"/>
    <w:rsid w:val="00F327A0"/>
    <w:rsid w:val="00F34CF1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1F12"/>
    <w:rsid w:val="00F72272"/>
    <w:rsid w:val="00F7241B"/>
    <w:rsid w:val="00F7382D"/>
    <w:rsid w:val="00F76541"/>
    <w:rsid w:val="00F81158"/>
    <w:rsid w:val="00F81F97"/>
    <w:rsid w:val="00F84F53"/>
    <w:rsid w:val="00F86C4A"/>
    <w:rsid w:val="00F918D9"/>
    <w:rsid w:val="00F94321"/>
    <w:rsid w:val="00FA5092"/>
    <w:rsid w:val="00FA51C5"/>
    <w:rsid w:val="00FA5A4E"/>
    <w:rsid w:val="00FB0FDF"/>
    <w:rsid w:val="00FB2281"/>
    <w:rsid w:val="00FB515B"/>
    <w:rsid w:val="00FC0DCC"/>
    <w:rsid w:val="00FD5C77"/>
    <w:rsid w:val="00FD5DFE"/>
    <w:rsid w:val="00FE2DCC"/>
    <w:rsid w:val="00FE716F"/>
    <w:rsid w:val="00FE784C"/>
    <w:rsid w:val="00FF1FD2"/>
    <w:rsid w:val="00FF37E2"/>
    <w:rsid w:val="00FF4F7B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738A-27E1-43F9-8EE8-BFF83A6A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7313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https:/mul2.gyumricity.am/tasks/124487/oneclick/Byuje  naxagic dektember 2023 10.docx?token=f6ca2d1cecbe33d5729f48e2fb136453</cp:keywords>
  <cp:lastModifiedBy>Admin</cp:lastModifiedBy>
  <cp:revision>3</cp:revision>
  <cp:lastPrinted>2023-12-06T10:56:00Z</cp:lastPrinted>
  <dcterms:created xsi:type="dcterms:W3CDTF">2023-12-06T10:56:00Z</dcterms:created>
  <dcterms:modified xsi:type="dcterms:W3CDTF">2023-12-06T10:56:00Z</dcterms:modified>
</cp:coreProperties>
</file>